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CED" w:rsidRDefault="004E4CED">
      <w:pPr>
        <w:kinsoku w:val="0"/>
        <w:overflowPunct w:val="0"/>
        <w:autoSpaceDE/>
        <w:autoSpaceDN/>
        <w:adjustRightInd/>
        <w:spacing w:after="546" w:line="20" w:lineRule="exact"/>
        <w:textAlignment w:val="baseline"/>
        <w:rPr>
          <w:sz w:val="24"/>
          <w:szCs w:val="24"/>
        </w:rPr>
      </w:pPr>
      <w:bookmarkStart w:id="0" w:name="_GoBack"/>
      <w:bookmarkEnd w:id="0"/>
    </w:p>
    <w:p w:rsidR="004E4CED" w:rsidRDefault="00243C2A">
      <w:pPr>
        <w:kinsoku w:val="0"/>
        <w:overflowPunct w:val="0"/>
        <w:autoSpaceDE/>
        <w:autoSpaceDN/>
        <w:adjustRightInd/>
        <w:spacing w:before="3" w:line="268"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RESOLUCION N. TAT-3626-2019</w:t>
      </w:r>
    </w:p>
    <w:p w:rsidR="004E4CED" w:rsidRDefault="00243C2A">
      <w:pPr>
        <w:kinsoku w:val="0"/>
        <w:overflowPunct w:val="0"/>
        <w:autoSpaceDE/>
        <w:autoSpaceDN/>
        <w:adjustRightInd/>
        <w:spacing w:before="853" w:line="283"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 a las diez horas diez minutos del veintitrés de abril de dos mil diecinueve.</w:t>
      </w:r>
    </w:p>
    <w:p w:rsidR="004E4CED" w:rsidRDefault="00243C2A">
      <w:pPr>
        <w:kinsoku w:val="0"/>
        <w:overflowPunct w:val="0"/>
        <w:autoSpaceDE/>
        <w:autoSpaceDN/>
        <w:adjustRightInd/>
        <w:spacing w:before="592" w:line="283" w:lineRule="exact"/>
        <w:ind w:right="72"/>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RECURSO DE APELACIÓN, </w:t>
      </w:r>
      <w:r>
        <w:rPr>
          <w:rFonts w:ascii="Verdana" w:hAnsi="Verdana" w:cs="Verdana"/>
          <w:sz w:val="23"/>
          <w:szCs w:val="23"/>
          <w:lang w:val="es-ES" w:eastAsia="es-ES"/>
        </w:rPr>
        <w:t xml:space="preserve">interpuesto por el </w:t>
      </w:r>
      <w:r>
        <w:rPr>
          <w:rFonts w:ascii="Verdana" w:hAnsi="Verdana" w:cs="Verdana"/>
          <w:b/>
          <w:bCs/>
          <w:sz w:val="23"/>
          <w:szCs w:val="23"/>
          <w:lang w:val="es-ES" w:eastAsia="es-ES"/>
        </w:rPr>
        <w:t xml:space="preserve">L.R.A.P., cédula de identidad número …, </w:t>
      </w:r>
      <w:r>
        <w:rPr>
          <w:rFonts w:ascii="Verdana" w:hAnsi="Verdana" w:cs="Verdana"/>
          <w:sz w:val="23"/>
          <w:szCs w:val="23"/>
          <w:lang w:val="es-ES" w:eastAsia="es-ES"/>
        </w:rPr>
        <w:t xml:space="preserve">actuando en representación como Apoderado Especial Administrativo, de la señora </w:t>
      </w:r>
      <w:r>
        <w:rPr>
          <w:rFonts w:ascii="Verdana" w:hAnsi="Verdana" w:cs="Verdana"/>
          <w:b/>
          <w:bCs/>
          <w:sz w:val="23"/>
          <w:szCs w:val="23"/>
          <w:lang w:val="es-ES" w:eastAsia="es-ES"/>
        </w:rPr>
        <w:t xml:space="preserve">I.L.M.J., cédula de identidad número …, concesionaria de la placa TP-305, </w:t>
      </w:r>
      <w:r>
        <w:rPr>
          <w:rFonts w:ascii="Verdana" w:hAnsi="Verdana" w:cs="Verdana"/>
          <w:sz w:val="23"/>
          <w:szCs w:val="23"/>
          <w:lang w:val="es-ES" w:eastAsia="es-ES"/>
        </w:rPr>
        <w:t xml:space="preserve">contra </w:t>
      </w:r>
      <w:r>
        <w:rPr>
          <w:rFonts w:ascii="Verdana" w:hAnsi="Verdana" w:cs="Verdana"/>
          <w:b/>
          <w:bCs/>
          <w:sz w:val="23"/>
          <w:szCs w:val="23"/>
          <w:lang w:val="es-ES" w:eastAsia="es-ES"/>
        </w:rPr>
        <w:t xml:space="preserve">el artículo 7,14 de la Sesión Ordinaria 12-2019 de 5 de marzo de 2019, adoptado por la Junta Directiva del Consejo de Transporte Público. </w:t>
      </w:r>
      <w:r>
        <w:rPr>
          <w:rFonts w:ascii="Verdana" w:hAnsi="Verdana" w:cs="Verdana"/>
          <w:sz w:val="23"/>
          <w:szCs w:val="23"/>
          <w:lang w:val="es-ES" w:eastAsia="es-ES"/>
        </w:rPr>
        <w:t xml:space="preserve">El caso es tramitado en este Despacho bajo el expediente número </w:t>
      </w:r>
      <w:r>
        <w:rPr>
          <w:rFonts w:ascii="Verdana" w:hAnsi="Verdana" w:cs="Verdana"/>
          <w:b/>
          <w:bCs/>
          <w:sz w:val="23"/>
          <w:szCs w:val="23"/>
          <w:lang w:val="es-ES" w:eastAsia="es-ES"/>
        </w:rPr>
        <w:t>TAT-024-19.</w:t>
      </w:r>
    </w:p>
    <w:p w:rsidR="004E4CED" w:rsidRDefault="00243C2A">
      <w:pPr>
        <w:kinsoku w:val="0"/>
        <w:overflowPunct w:val="0"/>
        <w:autoSpaceDE/>
        <w:autoSpaceDN/>
        <w:adjustRightInd/>
        <w:spacing w:before="578" w:line="268"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RESULTANDO</w:t>
      </w:r>
    </w:p>
    <w:p w:rsidR="004E4CED" w:rsidRDefault="00243C2A">
      <w:pPr>
        <w:kinsoku w:val="0"/>
        <w:overflowPunct w:val="0"/>
        <w:autoSpaceDE/>
        <w:autoSpaceDN/>
        <w:adjustRightInd/>
        <w:spacing w:before="607" w:line="283" w:lineRule="exact"/>
        <w:ind w:right="72"/>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 xml:space="preserve">PRIMERO: </w:t>
      </w:r>
      <w:r>
        <w:rPr>
          <w:rFonts w:ascii="Verdana" w:hAnsi="Verdana" w:cs="Verdana"/>
          <w:spacing w:val="1"/>
          <w:sz w:val="23"/>
          <w:szCs w:val="23"/>
          <w:lang w:val="es-ES" w:eastAsia="es-ES"/>
        </w:rPr>
        <w:t xml:space="preserve">El </w:t>
      </w:r>
      <w:r>
        <w:rPr>
          <w:rFonts w:ascii="Verdana" w:hAnsi="Verdana" w:cs="Verdana"/>
          <w:b/>
          <w:bCs/>
          <w:spacing w:val="1"/>
          <w:sz w:val="23"/>
          <w:szCs w:val="23"/>
          <w:lang w:val="es-ES" w:eastAsia="es-ES"/>
        </w:rPr>
        <w:t xml:space="preserve">L.R.A.P., en el libelo presentado </w:t>
      </w:r>
      <w:r>
        <w:rPr>
          <w:rFonts w:ascii="Verdana" w:hAnsi="Verdana" w:cs="Verdana"/>
          <w:spacing w:val="1"/>
          <w:sz w:val="23"/>
          <w:szCs w:val="23"/>
          <w:lang w:val="es-ES" w:eastAsia="es-ES"/>
        </w:rPr>
        <w:t xml:space="preserve">y en el que actúa como Apoderado Especial Administrativo, de la señora </w:t>
      </w:r>
      <w:r>
        <w:rPr>
          <w:rFonts w:ascii="Verdana" w:hAnsi="Verdana" w:cs="Verdana"/>
          <w:b/>
          <w:bCs/>
          <w:spacing w:val="1"/>
          <w:sz w:val="23"/>
          <w:szCs w:val="23"/>
          <w:lang w:val="es-ES" w:eastAsia="es-ES"/>
        </w:rPr>
        <w:t xml:space="preserve">I.L.M.J., cédula de identidad número …, concesionaria de la placa TP-XXX, </w:t>
      </w:r>
      <w:r>
        <w:rPr>
          <w:rFonts w:ascii="Verdana" w:hAnsi="Verdana" w:cs="Verdana"/>
          <w:spacing w:val="1"/>
          <w:sz w:val="23"/>
          <w:szCs w:val="23"/>
          <w:lang w:val="es-ES" w:eastAsia="es-ES"/>
        </w:rPr>
        <w:t xml:space="preserve">contra </w:t>
      </w:r>
      <w:r>
        <w:rPr>
          <w:rFonts w:ascii="Verdana" w:hAnsi="Verdana" w:cs="Verdana"/>
          <w:b/>
          <w:bCs/>
          <w:spacing w:val="1"/>
          <w:sz w:val="23"/>
          <w:szCs w:val="23"/>
          <w:lang w:val="es-ES" w:eastAsia="es-ES"/>
        </w:rPr>
        <w:t xml:space="preserve">el artículo 7,14 de la Sesión Ordinaria 12-2019 de 5 de marzo de 2019, adoptado por la Junta Directiva del Consejo de Transporte Público, </w:t>
      </w:r>
      <w:r>
        <w:rPr>
          <w:rFonts w:ascii="Verdana" w:hAnsi="Verdana" w:cs="Verdana"/>
          <w:spacing w:val="1"/>
          <w:sz w:val="23"/>
          <w:szCs w:val="23"/>
          <w:lang w:val="es-ES" w:eastAsia="es-ES"/>
        </w:rPr>
        <w:t>indica que no se encuentra de acuerdo con lo resuelto por dicho órgano jerárquico, por cuando no valoró elementos esenciales de admisibilidad tal como es el hecho de que su representada se encuentra al día con la Caja Costarricense del Seguro Social, lo que corresponde a un hecho nuevo no conocido al momento de adoptar el acuerdo 7.7.1 de la sesión 43-2017. En el mismo sentido, manifiesta que aportó recibos de pago ante la C.C.S.S., los que no fueron tomados en cuenta por indicarse por parte de la Administración que estaban borrosos, pero el Consejo, se encontraba en la obligación de solicitarlos al ente asegurador si lo consideraba necesario. Solicita que se acoja el Recurso de Apelación</w:t>
      </w:r>
    </w:p>
    <w:p w:rsidR="004E4CED" w:rsidRDefault="004E4CED">
      <w:pPr>
        <w:widowControl/>
        <w:rPr>
          <w:sz w:val="24"/>
          <w:szCs w:val="24"/>
        </w:rPr>
        <w:sectPr w:rsidR="004E4CED">
          <w:pgSz w:w="12240" w:h="15840"/>
          <w:pgMar w:top="2360" w:right="1832" w:bottom="224" w:left="1608" w:header="720" w:footer="720" w:gutter="0"/>
          <w:cols w:space="720"/>
          <w:noEndnote/>
        </w:sectPr>
      </w:pPr>
    </w:p>
    <w:p w:rsidR="004E4CED" w:rsidRDefault="00243C2A">
      <w:pPr>
        <w:kinsoku w:val="0"/>
        <w:overflowPunct w:val="0"/>
        <w:autoSpaceDE/>
        <w:autoSpaceDN/>
        <w:adjustRightInd/>
        <w:spacing w:before="30" w:line="28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interpuesto contra </w:t>
      </w:r>
      <w:r>
        <w:rPr>
          <w:rFonts w:ascii="Verdana" w:hAnsi="Verdana" w:cs="Verdana"/>
          <w:b/>
          <w:bCs/>
          <w:sz w:val="23"/>
          <w:szCs w:val="23"/>
          <w:lang w:val="es-ES" w:eastAsia="es-ES"/>
        </w:rPr>
        <w:t xml:space="preserve">el artículo 7,14 de la Sesión Ordinaria 12-2019 de 5 de marzo de 2019, </w:t>
      </w:r>
      <w:r>
        <w:rPr>
          <w:rFonts w:ascii="Verdana" w:hAnsi="Verdana" w:cs="Verdana"/>
          <w:sz w:val="23"/>
          <w:szCs w:val="23"/>
          <w:lang w:val="es-ES" w:eastAsia="es-ES"/>
        </w:rPr>
        <w:t xml:space="preserve">que es el acto que rechaza el </w:t>
      </w:r>
      <w:r>
        <w:rPr>
          <w:rFonts w:ascii="Verdana" w:hAnsi="Verdana" w:cs="Verdana"/>
          <w:b/>
          <w:bCs/>
          <w:sz w:val="23"/>
          <w:szCs w:val="23"/>
          <w:lang w:val="es-ES" w:eastAsia="es-ES"/>
        </w:rPr>
        <w:t xml:space="preserve">recurso de Revisión </w:t>
      </w:r>
      <w:r>
        <w:rPr>
          <w:rFonts w:ascii="Verdana" w:hAnsi="Verdana" w:cs="Verdana"/>
          <w:sz w:val="23"/>
          <w:szCs w:val="23"/>
          <w:lang w:val="es-ES" w:eastAsia="es-ES"/>
        </w:rPr>
        <w:t xml:space="preserve">presentado contra </w:t>
      </w:r>
      <w:r>
        <w:rPr>
          <w:rFonts w:ascii="Verdana" w:hAnsi="Verdana" w:cs="Verdana"/>
          <w:b/>
          <w:bCs/>
          <w:sz w:val="23"/>
          <w:szCs w:val="23"/>
          <w:lang w:val="es-ES" w:eastAsia="es-ES"/>
        </w:rPr>
        <w:t xml:space="preserve">el acuerdo 7.7.1 de la sesión 43-2017 y se acoja la Revisión presentada contra dicho acto administrativo por el Tribunal Administrativo de Transporte. </w:t>
      </w:r>
      <w:r>
        <w:rPr>
          <w:rFonts w:ascii="Verdana" w:hAnsi="Verdana" w:cs="Verdana"/>
          <w:sz w:val="23"/>
          <w:szCs w:val="23"/>
          <w:lang w:val="es-ES" w:eastAsia="es-ES"/>
        </w:rPr>
        <w:t>(Ver folios del 3 al 5 del expediente administrativo)</w:t>
      </w:r>
    </w:p>
    <w:p w:rsidR="004E4CED" w:rsidRDefault="00243C2A">
      <w:pPr>
        <w:kinsoku w:val="0"/>
        <w:overflowPunct w:val="0"/>
        <w:autoSpaceDE/>
        <w:autoSpaceDN/>
        <w:adjustRightInd/>
        <w:spacing w:before="274" w:line="286"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La Junta Directiva del Consejo de Transporte público mediante acuerdo </w:t>
      </w:r>
      <w:r>
        <w:rPr>
          <w:rFonts w:ascii="Verdana" w:hAnsi="Verdana" w:cs="Verdana"/>
          <w:b/>
          <w:bCs/>
          <w:sz w:val="23"/>
          <w:szCs w:val="23"/>
          <w:lang w:val="es-ES" w:eastAsia="es-ES"/>
        </w:rPr>
        <w:t xml:space="preserve">7.7.1 de la sesión ordinaria 43-2017 del 8 de noviembre de 2017, </w:t>
      </w:r>
      <w:r>
        <w:rPr>
          <w:rFonts w:ascii="Verdana" w:hAnsi="Verdana" w:cs="Verdana"/>
          <w:sz w:val="23"/>
          <w:szCs w:val="23"/>
          <w:lang w:val="es-ES" w:eastAsia="es-ES"/>
        </w:rPr>
        <w:t xml:space="preserve">dispuso cancelar el derecho de concesión a la señora </w:t>
      </w:r>
      <w:r>
        <w:rPr>
          <w:rFonts w:ascii="Verdana" w:hAnsi="Verdana" w:cs="Verdana"/>
          <w:b/>
          <w:bCs/>
          <w:sz w:val="23"/>
          <w:szCs w:val="23"/>
          <w:lang w:val="es-ES" w:eastAsia="es-ES"/>
        </w:rPr>
        <w:t xml:space="preserve">I.L.M.J., cédula de identidad número …, concesionaria de la placa TP-XXX, </w:t>
      </w:r>
      <w:r>
        <w:rPr>
          <w:rFonts w:ascii="Verdana" w:hAnsi="Verdana" w:cs="Verdana"/>
          <w:sz w:val="23"/>
          <w:szCs w:val="23"/>
          <w:lang w:val="es-ES" w:eastAsia="es-ES"/>
        </w:rPr>
        <w:t>por no formalizar el proceso de renovación de la concesión. (Léase folios 34 y 35 del expediente administrativo)</w:t>
      </w:r>
    </w:p>
    <w:p w:rsidR="004E4CED" w:rsidRDefault="00243C2A" w:rsidP="00243C2A">
      <w:pPr>
        <w:kinsoku w:val="0"/>
        <w:overflowPunct w:val="0"/>
        <w:autoSpaceDE/>
        <w:autoSpaceDN/>
        <w:adjustRightInd/>
        <w:spacing w:before="278" w:line="287"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TERCERO: </w:t>
      </w:r>
      <w:r>
        <w:rPr>
          <w:rFonts w:ascii="Verdana" w:hAnsi="Verdana" w:cs="Verdana"/>
          <w:sz w:val="23"/>
          <w:szCs w:val="23"/>
          <w:lang w:val="es-ES" w:eastAsia="es-ES"/>
        </w:rPr>
        <w:t xml:space="preserve">El Licenciado R.A.P., interpuso Recurso de Revisión contra el </w:t>
      </w:r>
      <w:r>
        <w:rPr>
          <w:rFonts w:ascii="Verdana" w:hAnsi="Verdana" w:cs="Verdana"/>
          <w:b/>
          <w:bCs/>
          <w:sz w:val="23"/>
          <w:szCs w:val="23"/>
          <w:lang w:val="es-ES" w:eastAsia="es-ES"/>
        </w:rPr>
        <w:t xml:space="preserve">acuerdo 7.7.1 de la sesión ordinaria 43-2017 del 8 de noviembre de 2017, </w:t>
      </w:r>
      <w:r>
        <w:rPr>
          <w:rFonts w:ascii="Verdana" w:hAnsi="Verdana" w:cs="Verdana"/>
          <w:sz w:val="23"/>
          <w:szCs w:val="23"/>
          <w:lang w:val="es-ES" w:eastAsia="es-ES"/>
        </w:rPr>
        <w:t>en representación de la concesionaria de reiterada cita. (Ver Folios del 25 vuelto al 27 del expediente administrativo)</w:t>
      </w:r>
    </w:p>
    <w:p w:rsidR="004E4CED" w:rsidRDefault="00243C2A">
      <w:pPr>
        <w:kinsoku w:val="0"/>
        <w:overflowPunct w:val="0"/>
        <w:autoSpaceDE/>
        <w:autoSpaceDN/>
        <w:adjustRightInd/>
        <w:spacing w:before="276" w:line="286"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 xml:space="preserve">La Junta Directiva del Consejo de Transporte Público mediante </w:t>
      </w:r>
      <w:r>
        <w:rPr>
          <w:rFonts w:ascii="Verdana" w:hAnsi="Verdana" w:cs="Verdana"/>
          <w:b/>
          <w:bCs/>
          <w:sz w:val="23"/>
          <w:szCs w:val="23"/>
          <w:lang w:val="es-ES" w:eastAsia="es-ES"/>
        </w:rPr>
        <w:t xml:space="preserve">artículo 7,14 de la Sesión Ordinaria 12-2019 de 5 de marzo de 2019, </w:t>
      </w:r>
      <w:r>
        <w:rPr>
          <w:rFonts w:ascii="Verdana" w:hAnsi="Verdana" w:cs="Verdana"/>
          <w:sz w:val="23"/>
          <w:szCs w:val="23"/>
          <w:lang w:val="es-ES" w:eastAsia="es-ES"/>
        </w:rPr>
        <w:t xml:space="preserve">rechaza el recurso de Revisión presentado por el recurrente contra el </w:t>
      </w:r>
      <w:r>
        <w:rPr>
          <w:rFonts w:ascii="Verdana" w:hAnsi="Verdana" w:cs="Verdana"/>
          <w:b/>
          <w:bCs/>
          <w:sz w:val="23"/>
          <w:szCs w:val="23"/>
          <w:lang w:val="es-ES" w:eastAsia="es-ES"/>
        </w:rPr>
        <w:t xml:space="preserve">acuerdo 7.7.1 de la sesión ordinaria 43-2017 del 8 de noviembre de 2017, </w:t>
      </w:r>
      <w:r>
        <w:rPr>
          <w:rFonts w:ascii="Verdana" w:hAnsi="Verdana" w:cs="Verdana"/>
          <w:sz w:val="23"/>
          <w:szCs w:val="23"/>
          <w:lang w:val="es-ES" w:eastAsia="es-ES"/>
        </w:rPr>
        <w:t>por considerarlo improcedente. (Léase folio 21 del expediente administrativo)</w:t>
      </w:r>
    </w:p>
    <w:p w:rsidR="004E4CED" w:rsidRDefault="00243C2A">
      <w:pPr>
        <w:kinsoku w:val="0"/>
        <w:overflowPunct w:val="0"/>
        <w:autoSpaceDE/>
        <w:autoSpaceDN/>
        <w:adjustRightInd/>
        <w:spacing w:before="561" w:line="287" w:lineRule="exact"/>
        <w:ind w:left="72" w:right="72"/>
        <w:textAlignment w:val="baseline"/>
        <w:rPr>
          <w:rFonts w:ascii="Verdana" w:hAnsi="Verdana" w:cs="Verdana"/>
          <w:b/>
          <w:bCs/>
          <w:sz w:val="23"/>
          <w:szCs w:val="23"/>
          <w:lang w:val="es-ES" w:eastAsia="es-ES"/>
        </w:rPr>
      </w:pPr>
      <w:r>
        <w:rPr>
          <w:rFonts w:ascii="Verdana" w:hAnsi="Verdana" w:cs="Verdana"/>
          <w:b/>
          <w:bCs/>
          <w:sz w:val="23"/>
          <w:szCs w:val="23"/>
          <w:lang w:val="es-ES" w:eastAsia="es-ES"/>
        </w:rPr>
        <w:t>Redacta el Juez Muñoz Corea;</w:t>
      </w:r>
    </w:p>
    <w:p w:rsidR="004E4CED" w:rsidRDefault="00243C2A">
      <w:pPr>
        <w:kinsoku w:val="0"/>
        <w:overflowPunct w:val="0"/>
        <w:autoSpaceDE/>
        <w:autoSpaceDN/>
        <w:adjustRightInd/>
        <w:spacing w:before="512" w:line="339" w:lineRule="exact"/>
        <w:ind w:left="72" w:right="72"/>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CONSIDERANDO ÚNICO</w:t>
      </w:r>
    </w:p>
    <w:p w:rsidR="004E4CED" w:rsidRDefault="00243C2A">
      <w:pPr>
        <w:kinsoku w:val="0"/>
        <w:overflowPunct w:val="0"/>
        <w:autoSpaceDE/>
        <w:autoSpaceDN/>
        <w:adjustRightInd/>
        <w:spacing w:before="569" w:line="285"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NATURALEZA EXTRAORDINARIO DEL RECURSO DE REVISION. </w:t>
      </w:r>
      <w:r>
        <w:rPr>
          <w:rFonts w:ascii="Verdana" w:hAnsi="Verdana" w:cs="Verdana"/>
          <w:sz w:val="23"/>
          <w:szCs w:val="23"/>
          <w:lang w:val="es-ES" w:eastAsia="es-ES"/>
        </w:rPr>
        <w:t>Conforme a nuestro ordenamiento jurídico administrativo, el recurso de revisión, es un instrumento jurídico extraordinario, por proceder únicamente contra actos finales firmes y siempre que concurra cualquiera de las causales taxativas que indica el artículo 353 de la Ley General de la Administración Pública, Ley 6227 de 2 de mayo de 1978.</w:t>
      </w:r>
    </w:p>
    <w:p w:rsidR="004E4CED" w:rsidRDefault="00243C2A">
      <w:pPr>
        <w:kinsoku w:val="0"/>
        <w:overflowPunct w:val="0"/>
        <w:autoSpaceDE/>
        <w:autoSpaceDN/>
        <w:adjustRightInd/>
        <w:spacing w:before="274" w:line="278"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Los actos administrativos, como manifestación de voluntad de la Administración en ejercicio de sus facultades, pueden ser impugnados por</w:t>
      </w:r>
    </w:p>
    <w:p w:rsidR="004E4CED" w:rsidRDefault="004E4CED">
      <w:pPr>
        <w:widowControl/>
        <w:rPr>
          <w:sz w:val="24"/>
          <w:szCs w:val="24"/>
        </w:rPr>
        <w:sectPr w:rsidR="004E4CED">
          <w:pgSz w:w="12240" w:h="15840"/>
          <w:pgMar w:top="1940" w:right="1897" w:bottom="364" w:left="1543" w:header="720" w:footer="720" w:gutter="0"/>
          <w:cols w:space="720"/>
          <w:noEndnote/>
        </w:sectPr>
      </w:pPr>
    </w:p>
    <w:p w:rsidR="004E4CED" w:rsidRDefault="00243C2A">
      <w:pPr>
        <w:kinsoku w:val="0"/>
        <w:overflowPunct w:val="0"/>
        <w:autoSpaceDE/>
        <w:autoSpaceDN/>
        <w:adjustRightInd/>
        <w:spacing w:before="14" w:line="285" w:lineRule="exact"/>
        <w:ind w:right="144"/>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lastRenderedPageBreak/>
        <w:t>los destinatarios si los encuentran lesivos a sus intereses, tanto en sede administrativa como jurisdiccional, para ello cuentan con herramientas procesales otorgadas por el ordenamiento jurídico a saber, los recursos ordinarios (revocatoria y apelación) y extraordinarios (revisión).</w:t>
      </w:r>
    </w:p>
    <w:p w:rsidR="004E4CED" w:rsidRDefault="00243C2A">
      <w:pPr>
        <w:kinsoku w:val="0"/>
        <w:overflowPunct w:val="0"/>
        <w:autoSpaceDE/>
        <w:autoSpaceDN/>
        <w:adjustRightInd/>
        <w:spacing w:before="269" w:line="285" w:lineRule="exact"/>
        <w:ind w:right="144"/>
        <w:jc w:val="both"/>
        <w:textAlignment w:val="baseline"/>
        <w:rPr>
          <w:rFonts w:ascii="Verdana" w:hAnsi="Verdana" w:cs="Verdana"/>
          <w:spacing w:val="12"/>
          <w:sz w:val="21"/>
          <w:szCs w:val="21"/>
          <w:lang w:val="es-ES" w:eastAsia="es-ES"/>
        </w:rPr>
      </w:pPr>
      <w:r>
        <w:rPr>
          <w:rFonts w:ascii="Verdana" w:hAnsi="Verdana" w:cs="Verdana"/>
          <w:spacing w:val="12"/>
          <w:sz w:val="21"/>
          <w:szCs w:val="21"/>
          <w:lang w:val="es-ES" w:eastAsia="es-ES"/>
        </w:rPr>
        <w:t>El recurso de revisión, se denomina, en la Ley General de la Administración Pública como extraordinario ya que procede contra actos administrativos firmes, pero únicamente, cuando presenten serias dudas en cuanto a su validez, pero apuntando a aspectos especiales y que de manera taxativa son determinados por la Ley, de modo tal que si los alegatos del impúgnate, no se encuentran respaldados, o no comportan alguno de los incumplimientos determinados por la Ley, no procede de modo alguno el recurso de Revisión.</w:t>
      </w:r>
    </w:p>
    <w:p w:rsidR="004E4CED" w:rsidRDefault="00243C2A">
      <w:pPr>
        <w:kinsoku w:val="0"/>
        <w:overflowPunct w:val="0"/>
        <w:autoSpaceDE/>
        <w:autoSpaceDN/>
        <w:adjustRightInd/>
        <w:spacing w:before="268" w:line="265" w:lineRule="exact"/>
        <w:ind w:left="720"/>
        <w:textAlignment w:val="baseline"/>
        <w:rPr>
          <w:rFonts w:ascii="Verdana" w:hAnsi="Verdana" w:cs="Verdana"/>
          <w:i/>
          <w:iCs/>
          <w:sz w:val="21"/>
          <w:szCs w:val="21"/>
          <w:lang w:val="es-ES" w:eastAsia="es-ES"/>
        </w:rPr>
      </w:pPr>
      <w:r>
        <w:rPr>
          <w:rFonts w:ascii="Verdana" w:hAnsi="Verdana" w:cs="Verdana"/>
          <w:i/>
          <w:iCs/>
          <w:sz w:val="21"/>
          <w:szCs w:val="21"/>
          <w:lang w:val="es-ES" w:eastAsia="es-ES"/>
        </w:rPr>
        <w:t>"Artículo 353 de la Ley General de la Administración Pública:</w:t>
      </w:r>
    </w:p>
    <w:p w:rsidR="004E4CED" w:rsidRDefault="00243C2A">
      <w:pPr>
        <w:kinsoku w:val="0"/>
        <w:overflowPunct w:val="0"/>
        <w:autoSpaceDE/>
        <w:autoSpaceDN/>
        <w:adjustRightInd/>
        <w:spacing w:before="271" w:line="260" w:lineRule="exact"/>
        <w:ind w:left="720"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1. Podrá interponerse recurso de revisión ante el jerarca de la respectiva Administración contra aquellos actos finales firmes en que concurra alguna de las circunstancias siguientes:</w:t>
      </w:r>
    </w:p>
    <w:p w:rsidR="004E4CED" w:rsidRDefault="00243C2A">
      <w:pPr>
        <w:numPr>
          <w:ilvl w:val="0"/>
          <w:numId w:val="1"/>
        </w:numPr>
        <w:kinsoku w:val="0"/>
        <w:overflowPunct w:val="0"/>
        <w:autoSpaceDE/>
        <w:autoSpaceDN/>
        <w:adjustRightInd/>
        <w:spacing w:before="261" w:line="267"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Cuando al dictarlos se hubiere incurrido en manifiesto error de hecho que aparezca de los propios documentos incorporados al expediente;</w:t>
      </w:r>
    </w:p>
    <w:p w:rsidR="004E4CED" w:rsidRDefault="00243C2A">
      <w:pPr>
        <w:numPr>
          <w:ilvl w:val="0"/>
          <w:numId w:val="1"/>
        </w:numPr>
        <w:kinsoku w:val="0"/>
        <w:overflowPunct w:val="0"/>
        <w:autoSpaceDE/>
        <w:autoSpaceDN/>
        <w:adjustRightInd/>
        <w:spacing w:before="266" w:line="263"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Cuando aparezcan documentos de valor esencial para la resolución del asunto, ignorados al dictarse la resolución o de imposible aportación entonces al expediente;</w:t>
      </w:r>
    </w:p>
    <w:p w:rsidR="004E4CED" w:rsidRDefault="00243C2A">
      <w:pPr>
        <w:numPr>
          <w:ilvl w:val="0"/>
          <w:numId w:val="1"/>
        </w:numPr>
        <w:kinsoku w:val="0"/>
        <w:overflowPunct w:val="0"/>
        <w:autoSpaceDE/>
        <w:autoSpaceDN/>
        <w:adjustRightInd/>
        <w:spacing w:before="266" w:line="261"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Cuando en el acto hayan influido esencialmente documentos o testimonios declarados falsos por sentencia judicial firme anterior o posterior del acto, siempre que, en el primer caso, el interesado desconociera la declaración de falsedad; y</w:t>
      </w:r>
    </w:p>
    <w:p w:rsidR="004E4CED" w:rsidRDefault="00243C2A">
      <w:pPr>
        <w:numPr>
          <w:ilvl w:val="0"/>
          <w:numId w:val="2"/>
        </w:numPr>
        <w:kinsoku w:val="0"/>
        <w:overflowPunct w:val="0"/>
        <w:autoSpaceDE/>
        <w:autoSpaceDN/>
        <w:adjustRightInd/>
        <w:spacing w:before="271" w:line="26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Cuando el acto se hubiera dictado como consecuencia de prevaricato, cohecho, violencia u otra maquinación fraudulenta y se haya declarado así en virtud de sentencia judicial."</w:t>
      </w:r>
    </w:p>
    <w:p w:rsidR="004E4CED" w:rsidRDefault="00243C2A">
      <w:pPr>
        <w:kinsoku w:val="0"/>
        <w:overflowPunct w:val="0"/>
        <w:autoSpaceDE/>
        <w:autoSpaceDN/>
        <w:adjustRightInd/>
        <w:spacing w:before="271" w:line="285" w:lineRule="exact"/>
        <w:ind w:right="7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Del artículo anterior se evidencia, con meridiana precisión que el Recurso de Revisión, tal como se indicó en líneas supra, solo procede, cuando en la especie concurran uno o más supuestos de los indicados taxativamente por el Legislador en el cuerpo normativo referido.</w:t>
      </w:r>
    </w:p>
    <w:p w:rsidR="004E4CED" w:rsidRDefault="00243C2A">
      <w:pPr>
        <w:kinsoku w:val="0"/>
        <w:overflowPunct w:val="0"/>
        <w:autoSpaceDE/>
        <w:autoSpaceDN/>
        <w:adjustRightInd/>
        <w:spacing w:before="267" w:line="285" w:lineRule="exact"/>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Al respecto ha señalado el Doctor Ortiz </w:t>
      </w:r>
      <w:proofErr w:type="spellStart"/>
      <w:r>
        <w:rPr>
          <w:rFonts w:ascii="Verdana" w:hAnsi="Verdana" w:cs="Verdana"/>
          <w:spacing w:val="11"/>
          <w:sz w:val="21"/>
          <w:szCs w:val="21"/>
          <w:lang w:val="es-ES" w:eastAsia="es-ES"/>
        </w:rPr>
        <w:t>Ortiz</w:t>
      </w:r>
      <w:proofErr w:type="spellEnd"/>
      <w:r>
        <w:rPr>
          <w:rFonts w:ascii="Verdana" w:hAnsi="Verdana" w:cs="Verdana"/>
          <w:spacing w:val="11"/>
          <w:sz w:val="21"/>
          <w:szCs w:val="21"/>
          <w:lang w:val="es-ES" w:eastAsia="es-ES"/>
        </w:rPr>
        <w:t xml:space="preserve"> lo siguiente:</w:t>
      </w:r>
    </w:p>
    <w:p w:rsidR="004E4CED" w:rsidRDefault="00243C2A">
      <w:pPr>
        <w:kinsoku w:val="0"/>
        <w:overflowPunct w:val="0"/>
        <w:autoSpaceDE/>
        <w:autoSpaceDN/>
        <w:adjustRightInd/>
        <w:spacing w:before="264" w:line="264" w:lineRule="exact"/>
        <w:jc w:val="center"/>
        <w:textAlignment w:val="baseline"/>
        <w:rPr>
          <w:rFonts w:ascii="Verdana" w:hAnsi="Verdana" w:cs="Verdana"/>
          <w:i/>
          <w:iCs/>
          <w:sz w:val="21"/>
          <w:szCs w:val="21"/>
          <w:lang w:val="es-ES" w:eastAsia="es-ES"/>
        </w:rPr>
      </w:pPr>
      <w:r>
        <w:rPr>
          <w:rFonts w:ascii="Verdana" w:hAnsi="Verdana" w:cs="Verdana"/>
          <w:i/>
          <w:iCs/>
          <w:sz w:val="21"/>
          <w:szCs w:val="21"/>
          <w:lang w:val="es-ES" w:eastAsia="es-ES"/>
        </w:rPr>
        <w:t>"Los recursos extraordinarios son los que sólo pueden tener lugar,</w:t>
      </w:r>
      <w:r>
        <w:rPr>
          <w:rFonts w:ascii="Verdana" w:hAnsi="Verdana" w:cs="Verdana"/>
          <w:i/>
          <w:iCs/>
          <w:sz w:val="21"/>
          <w:szCs w:val="21"/>
          <w:lang w:val="es-ES" w:eastAsia="es-ES"/>
        </w:rPr>
        <w:br/>
        <w:t>motivos tasados por ley y perfectamente precisados. En términos tales</w:t>
      </w:r>
    </w:p>
    <w:p w:rsidR="004E4CED" w:rsidRDefault="004E4CED">
      <w:pPr>
        <w:widowControl/>
        <w:rPr>
          <w:sz w:val="24"/>
          <w:szCs w:val="24"/>
        </w:rPr>
        <w:sectPr w:rsidR="004E4CED">
          <w:pgSz w:w="12240" w:h="15840"/>
          <w:pgMar w:top="2100" w:right="1866" w:bottom="204" w:left="1574" w:header="720" w:footer="720" w:gutter="0"/>
          <w:cols w:space="720"/>
          <w:noEndnote/>
        </w:sectPr>
      </w:pPr>
    </w:p>
    <w:p w:rsidR="004E4CED" w:rsidRDefault="00243C2A">
      <w:pPr>
        <w:kinsoku w:val="0"/>
        <w:overflowPunct w:val="0"/>
        <w:autoSpaceDE/>
        <w:autoSpaceDN/>
        <w:adjustRightInd/>
        <w:spacing w:before="44" w:line="258" w:lineRule="exact"/>
        <w:ind w:left="576" w:right="648"/>
        <w:jc w:val="both"/>
        <w:textAlignment w:val="baseline"/>
        <w:rPr>
          <w:rFonts w:ascii="Verdana" w:hAnsi="Verdana" w:cs="Verdana"/>
          <w:i/>
          <w:iCs/>
          <w:spacing w:val="-9"/>
          <w:sz w:val="23"/>
          <w:szCs w:val="23"/>
          <w:lang w:val="es-ES" w:eastAsia="es-ES"/>
        </w:rPr>
      </w:pPr>
      <w:r>
        <w:rPr>
          <w:rFonts w:ascii="Verdana" w:hAnsi="Verdana" w:cs="Verdana"/>
          <w:i/>
          <w:iCs/>
          <w:spacing w:val="-9"/>
          <w:sz w:val="23"/>
          <w:szCs w:val="23"/>
          <w:lang w:val="es-ES" w:eastAsia="es-ES"/>
        </w:rPr>
        <w:lastRenderedPageBreak/>
        <w:t xml:space="preserve">que cuando no se dan esos motivos, no es posible establecer esos recursos. El recurso de revisión siempre ha sido extraordinario tanto en lo judicial como en lo administrativo porque sólo cabe, como el de Casación, por motivos taxativamente fijados por ley. Fuera de los casos previstos no hay posibilidad de recurso de revisión aun cuando pueda haber la conciencia clara de que ha habido una infracción grave. Si no encaja dentro de las hipótesis previstas no hay posibilidad de recurso de revisión. (...)". (QUIRÓS CORONADO Roberto, </w:t>
      </w:r>
      <w:r>
        <w:rPr>
          <w:rFonts w:ascii="Verdana" w:hAnsi="Verdana" w:cs="Verdana"/>
          <w:i/>
          <w:iCs/>
          <w:spacing w:val="-9"/>
          <w:sz w:val="23"/>
          <w:szCs w:val="23"/>
          <w:u w:val="single"/>
          <w:lang w:val="es-ES" w:eastAsia="es-ES"/>
        </w:rPr>
        <w:t xml:space="preserve">Ley General de la Administración Pública concordada y anotada con el </w:t>
      </w:r>
      <w:proofErr w:type="gramStart"/>
      <w:r>
        <w:rPr>
          <w:rFonts w:ascii="Verdana" w:hAnsi="Verdana" w:cs="Verdana"/>
          <w:i/>
          <w:iCs/>
          <w:spacing w:val="-9"/>
          <w:sz w:val="23"/>
          <w:szCs w:val="23"/>
          <w:u w:val="single"/>
          <w:lang w:val="es-ES" w:eastAsia="es-ES"/>
        </w:rPr>
        <w:t>debate  legislativo</w:t>
      </w:r>
      <w:proofErr w:type="gramEnd"/>
      <w:r>
        <w:rPr>
          <w:rFonts w:ascii="Verdana" w:hAnsi="Verdana" w:cs="Verdana"/>
          <w:i/>
          <w:iCs/>
          <w:spacing w:val="-9"/>
          <w:sz w:val="23"/>
          <w:szCs w:val="23"/>
          <w:u w:val="single"/>
          <w:lang w:val="es-ES" w:eastAsia="es-ES"/>
        </w:rPr>
        <w:t xml:space="preserve"> y la jurisprudencia constitucional,</w:t>
      </w:r>
      <w:r>
        <w:rPr>
          <w:rFonts w:ascii="Verdana" w:hAnsi="Verdana" w:cs="Verdana"/>
          <w:i/>
          <w:iCs/>
          <w:spacing w:val="-9"/>
          <w:sz w:val="23"/>
          <w:szCs w:val="23"/>
          <w:lang w:val="es-ES" w:eastAsia="es-ES"/>
        </w:rPr>
        <w:t xml:space="preserve"> Editorial ASELEX S.A., San José, Costa Rica, 1996, pág. 407).</w:t>
      </w:r>
    </w:p>
    <w:p w:rsidR="004E4CED" w:rsidRDefault="00243C2A">
      <w:pPr>
        <w:kinsoku w:val="0"/>
        <w:overflowPunct w:val="0"/>
        <w:autoSpaceDE/>
        <w:autoSpaceDN/>
        <w:adjustRightInd/>
        <w:spacing w:before="299" w:line="284" w:lineRule="exact"/>
        <w:ind w:left="72" w:right="648"/>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Competencia del Tribunal Administrativo de Transporte. </w:t>
      </w:r>
      <w:r>
        <w:rPr>
          <w:rFonts w:ascii="Verdana" w:hAnsi="Verdana" w:cs="Verdana"/>
          <w:sz w:val="23"/>
          <w:szCs w:val="23"/>
          <w:lang w:val="es-ES" w:eastAsia="es-ES"/>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que señala textualmente lo siguiente:</w:t>
      </w:r>
    </w:p>
    <w:p w:rsidR="004E4CED" w:rsidRDefault="00243C2A">
      <w:pPr>
        <w:kinsoku w:val="0"/>
        <w:overflowPunct w:val="0"/>
        <w:autoSpaceDE/>
        <w:autoSpaceDN/>
        <w:adjustRightInd/>
        <w:spacing w:before="549" w:line="284" w:lineRule="exact"/>
        <w:ind w:left="720" w:right="720"/>
        <w:jc w:val="both"/>
        <w:textAlignment w:val="baseline"/>
        <w:rPr>
          <w:rFonts w:ascii="Verdana" w:hAnsi="Verdana" w:cs="Verdana"/>
          <w:sz w:val="23"/>
          <w:szCs w:val="23"/>
          <w:lang w:val="es-ES" w:eastAsia="es-ES"/>
        </w:rPr>
      </w:pPr>
      <w:r>
        <w:rPr>
          <w:rFonts w:ascii="Verdana" w:hAnsi="Verdana" w:cs="Verdana"/>
          <w:sz w:val="23"/>
          <w:szCs w:val="23"/>
          <w:lang w:val="es-ES" w:eastAsia="es-ES"/>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rsidR="004E4CED" w:rsidRDefault="00243C2A">
      <w:pPr>
        <w:kinsoku w:val="0"/>
        <w:overflowPunct w:val="0"/>
        <w:autoSpaceDE/>
        <w:autoSpaceDN/>
        <w:adjustRightInd/>
        <w:spacing w:before="581" w:line="284" w:lineRule="exact"/>
        <w:ind w:left="72" w:right="72"/>
        <w:jc w:val="both"/>
        <w:textAlignment w:val="baseline"/>
        <w:rPr>
          <w:rFonts w:ascii="Verdana" w:hAnsi="Verdana" w:cs="Verdana"/>
          <w:b/>
          <w:bCs/>
          <w:spacing w:val="-1"/>
          <w:sz w:val="23"/>
          <w:szCs w:val="23"/>
          <w:lang w:val="es-ES" w:eastAsia="es-ES"/>
        </w:rPr>
      </w:pPr>
      <w:r>
        <w:rPr>
          <w:rFonts w:ascii="Verdana" w:hAnsi="Verdana" w:cs="Verdana"/>
          <w:spacing w:val="-1"/>
          <w:sz w:val="23"/>
          <w:szCs w:val="23"/>
          <w:lang w:val="es-ES" w:eastAsia="es-ES"/>
        </w:rPr>
        <w:t xml:space="preserve">De lo dicho anteriormente el Tribunal Administrativo de Transporte es competente para conocer de los recursos de Apelación, interpuestos contra los actos del Consejo de Transporte Público y de los recursos de Revisión presentados contra sus propias resoluciones, pero no es competente para el conocimiento de Recursos de Revisión presentados contra los actos adoptados por el CTP, ya que de acuerdo con el artículo 353 de la Ley General de la Administración Pública, éste es un recurso extraordinario, que procede únicamente bajo las causales indicadas en dicho artículo, cuyo conocimiento corresponde </w:t>
      </w:r>
      <w:r>
        <w:rPr>
          <w:rFonts w:ascii="Verdana" w:hAnsi="Verdana" w:cs="Verdana"/>
          <w:b/>
          <w:bCs/>
          <w:spacing w:val="-1"/>
          <w:sz w:val="23"/>
          <w:szCs w:val="23"/>
          <w:lang w:val="es-ES" w:eastAsia="es-ES"/>
        </w:rPr>
        <w:t>al respectivo jerarca de la Administración, que emitió el Acto Final que se encuentra firme.</w:t>
      </w:r>
    </w:p>
    <w:p w:rsidR="004E4CED" w:rsidRDefault="00243C2A">
      <w:pPr>
        <w:kinsoku w:val="0"/>
        <w:overflowPunct w:val="0"/>
        <w:autoSpaceDE/>
        <w:autoSpaceDN/>
        <w:adjustRightInd/>
        <w:spacing w:before="283" w:line="27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 este respecto, la Procuraduría General de la República, en el dictamen C-157-2003 del 3 de junio de 2003, manifestó:</w:t>
      </w:r>
    </w:p>
    <w:p w:rsidR="004E4CED" w:rsidRDefault="004E4CED">
      <w:pPr>
        <w:widowControl/>
        <w:rPr>
          <w:sz w:val="24"/>
          <w:szCs w:val="24"/>
        </w:rPr>
        <w:sectPr w:rsidR="004E4CED">
          <w:pgSz w:w="12240" w:h="15840"/>
          <w:pgMar w:top="1980" w:right="1888" w:bottom="344" w:left="1552" w:header="720" w:footer="720" w:gutter="0"/>
          <w:cols w:space="720"/>
          <w:noEndnote/>
        </w:sectPr>
      </w:pPr>
    </w:p>
    <w:p w:rsidR="004E4CED" w:rsidRDefault="00243C2A">
      <w:pPr>
        <w:kinsoku w:val="0"/>
        <w:overflowPunct w:val="0"/>
        <w:autoSpaceDE/>
        <w:autoSpaceDN/>
        <w:adjustRightInd/>
        <w:spacing w:line="285" w:lineRule="exact"/>
        <w:ind w:left="792" w:right="86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"En consecuencia, contra lo resuelto por el Consejo de Transporte Público, en principio, sólo caben los recursos administrativos ordinarios, a saber, el de revocatoria </w:t>
      </w:r>
      <w:proofErr w:type="gramStart"/>
      <w:r>
        <w:rPr>
          <w:rFonts w:ascii="Verdana" w:hAnsi="Verdana" w:cs="Verdana"/>
          <w:sz w:val="23"/>
          <w:szCs w:val="23"/>
          <w:lang w:val="es-ES" w:eastAsia="es-ES"/>
        </w:rPr>
        <w:t>( que</w:t>
      </w:r>
      <w:proofErr w:type="gramEnd"/>
      <w:r>
        <w:rPr>
          <w:rFonts w:ascii="Verdana" w:hAnsi="Verdana" w:cs="Verdana"/>
          <w:sz w:val="23"/>
          <w:szCs w:val="23"/>
          <w:lang w:val="es-ES" w:eastAsia="es-ES"/>
        </w:rPr>
        <w:t xml:space="preserve"> conocería el mismo Consejo) y el de apelación que corresponde conocer al Tribunal Administrativo de Transporte. Y contra lo resuelto por el citado Tribunal, no cabe más recurso y se tendrá por agotada la vía administrativa.</w:t>
      </w:r>
    </w:p>
    <w:p w:rsidR="004E4CED" w:rsidRDefault="00243C2A">
      <w:pPr>
        <w:kinsoku w:val="0"/>
        <w:overflowPunct w:val="0"/>
        <w:autoSpaceDE/>
        <w:autoSpaceDN/>
        <w:adjustRightInd/>
        <w:spacing w:before="288" w:line="285" w:lineRule="exact"/>
        <w:ind w:left="792" w:right="864"/>
        <w:jc w:val="both"/>
        <w:textAlignment w:val="baseline"/>
        <w:rPr>
          <w:rFonts w:ascii="Verdana" w:hAnsi="Verdana" w:cs="Verdana"/>
          <w:sz w:val="23"/>
          <w:szCs w:val="23"/>
          <w:u w:val="single"/>
          <w:lang w:val="es-ES" w:eastAsia="es-ES"/>
        </w:rPr>
      </w:pPr>
      <w:r>
        <w:rPr>
          <w:rFonts w:ascii="Verdana" w:hAnsi="Verdana" w:cs="Verdana"/>
          <w:sz w:val="23"/>
          <w:szCs w:val="23"/>
          <w:lang w:val="es-ES" w:eastAsia="es-ES"/>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Pr>
          <w:rFonts w:ascii="Verdana" w:hAnsi="Verdana" w:cs="Verdana"/>
          <w:sz w:val="23"/>
          <w:szCs w:val="23"/>
          <w:u w:val="single"/>
          <w:lang w:val="es-ES" w:eastAsia="es-ES"/>
        </w:rPr>
        <w:t xml:space="preserve">el recurso en cuestión tendría que ser conocido por el mismo órgano que ha dictado el acto que se cuestiona." </w:t>
      </w:r>
    </w:p>
    <w:p w:rsidR="004E4CED" w:rsidRDefault="00243C2A">
      <w:pPr>
        <w:kinsoku w:val="0"/>
        <w:overflowPunct w:val="0"/>
        <w:autoSpaceDE/>
        <w:autoSpaceDN/>
        <w:adjustRightInd/>
        <w:spacing w:before="265" w:line="290"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SOBRE EL CASO EN CUESTIÓN.</w:t>
      </w:r>
    </w:p>
    <w:p w:rsidR="004E4CED" w:rsidRDefault="00243C2A">
      <w:pPr>
        <w:kinsoku w:val="0"/>
        <w:overflowPunct w:val="0"/>
        <w:autoSpaceDE/>
        <w:autoSpaceDN/>
        <w:adjustRightInd/>
        <w:spacing w:before="291" w:line="289"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presente recurso de Apelación interpuesto contra </w:t>
      </w:r>
      <w:r>
        <w:rPr>
          <w:rFonts w:ascii="Verdana" w:hAnsi="Verdana" w:cs="Verdana"/>
          <w:b/>
          <w:bCs/>
          <w:sz w:val="23"/>
          <w:szCs w:val="23"/>
          <w:lang w:val="es-ES" w:eastAsia="es-ES"/>
        </w:rPr>
        <w:t xml:space="preserve">el artículo 7,14 de la Sesión Ordinaria 12-2019 de 5 de marzo de 2019, </w:t>
      </w:r>
      <w:r>
        <w:rPr>
          <w:rFonts w:ascii="Verdana" w:hAnsi="Verdana" w:cs="Verdana"/>
          <w:sz w:val="23"/>
          <w:szCs w:val="23"/>
          <w:lang w:val="es-ES" w:eastAsia="es-ES"/>
        </w:rPr>
        <w:t>es improcedente y así debe declararse.</w:t>
      </w:r>
    </w:p>
    <w:p w:rsidR="004E4CED" w:rsidRDefault="00243C2A">
      <w:pPr>
        <w:kinsoku w:val="0"/>
        <w:overflowPunct w:val="0"/>
        <w:autoSpaceDE/>
        <w:autoSpaceDN/>
        <w:adjustRightInd/>
        <w:spacing w:before="259" w:line="28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Si bien el recurso que presenta ante este Tribunal, el Licenciado </w:t>
      </w:r>
      <w:r>
        <w:rPr>
          <w:rFonts w:ascii="Verdana" w:hAnsi="Verdana" w:cs="Verdana"/>
          <w:b/>
          <w:bCs/>
          <w:sz w:val="23"/>
          <w:szCs w:val="23"/>
          <w:lang w:val="es-ES" w:eastAsia="es-ES"/>
        </w:rPr>
        <w:t xml:space="preserve">R.A.P., cédula de identidad número …, </w:t>
      </w:r>
      <w:r>
        <w:rPr>
          <w:rFonts w:ascii="Verdana" w:hAnsi="Verdana" w:cs="Verdana"/>
          <w:sz w:val="23"/>
          <w:szCs w:val="23"/>
          <w:lang w:val="es-ES" w:eastAsia="es-ES"/>
        </w:rPr>
        <w:t xml:space="preserve">actuando en representación como Apoderado Especial Administrativo, de la señora </w:t>
      </w:r>
      <w:r>
        <w:rPr>
          <w:rFonts w:ascii="Verdana" w:hAnsi="Verdana" w:cs="Verdana"/>
          <w:b/>
          <w:bCs/>
          <w:sz w:val="23"/>
          <w:szCs w:val="23"/>
          <w:lang w:val="es-ES" w:eastAsia="es-ES"/>
        </w:rPr>
        <w:t xml:space="preserve">I.L.M.J., cédula de identidad número …, concesionaria de la placa TP-XXX, </w:t>
      </w:r>
      <w:r>
        <w:rPr>
          <w:rFonts w:ascii="Verdana" w:hAnsi="Verdana" w:cs="Verdana"/>
          <w:sz w:val="23"/>
          <w:szCs w:val="23"/>
          <w:lang w:val="es-ES" w:eastAsia="es-ES"/>
        </w:rPr>
        <w:t xml:space="preserve">es de Apelación, dicho recurso es improcedente, porque lo hace contra el acto que resuelve precisamente un </w:t>
      </w:r>
      <w:r>
        <w:rPr>
          <w:rFonts w:ascii="Verdana" w:hAnsi="Verdana" w:cs="Verdana"/>
          <w:b/>
          <w:bCs/>
          <w:sz w:val="23"/>
          <w:szCs w:val="23"/>
          <w:lang w:val="es-ES" w:eastAsia="es-ES"/>
        </w:rPr>
        <w:t xml:space="preserve">Recurso de Revisión, </w:t>
      </w:r>
      <w:r>
        <w:rPr>
          <w:rFonts w:ascii="Verdana" w:hAnsi="Verdana" w:cs="Verdana"/>
          <w:sz w:val="23"/>
          <w:szCs w:val="23"/>
          <w:lang w:val="es-ES" w:eastAsia="es-ES"/>
        </w:rPr>
        <w:t>que presentara el recurrente contra otro acto emanado del Consejo de Transporte Público.</w:t>
      </w:r>
    </w:p>
    <w:p w:rsidR="004E4CED" w:rsidRDefault="00243C2A">
      <w:pPr>
        <w:kinsoku w:val="0"/>
        <w:overflowPunct w:val="0"/>
        <w:autoSpaceDE/>
        <w:autoSpaceDN/>
        <w:adjustRightInd/>
        <w:spacing w:before="263" w:line="287"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Como se indicó en supra, los recursos de Revisión solo pueden ser conocidos por el jerarca de la Administración que emitió el acto y en el presente asunto, el recurrente pretende </w:t>
      </w:r>
      <w:proofErr w:type="gramStart"/>
      <w:r>
        <w:rPr>
          <w:rFonts w:ascii="Verdana" w:hAnsi="Verdana" w:cs="Verdana"/>
          <w:sz w:val="23"/>
          <w:szCs w:val="23"/>
          <w:lang w:val="es-ES" w:eastAsia="es-ES"/>
        </w:rPr>
        <w:t>que</w:t>
      </w:r>
      <w:proofErr w:type="gramEnd"/>
      <w:r>
        <w:rPr>
          <w:rFonts w:ascii="Verdana" w:hAnsi="Verdana" w:cs="Verdana"/>
          <w:sz w:val="23"/>
          <w:szCs w:val="23"/>
          <w:lang w:val="es-ES" w:eastAsia="es-ES"/>
        </w:rPr>
        <w:t xml:space="preserve"> por medio de un recurso de Apelación contra un acto resolutorio del Consejo sobre un libelo de Revisión, este Tribunal conozca de la Revisión misma, que le </w:t>
      </w:r>
      <w:proofErr w:type="spellStart"/>
      <w:r>
        <w:rPr>
          <w:rFonts w:ascii="Verdana" w:hAnsi="Verdana" w:cs="Verdana"/>
          <w:sz w:val="23"/>
          <w:szCs w:val="23"/>
          <w:lang w:val="es-ES" w:eastAsia="es-ES"/>
        </w:rPr>
        <w:t>esta</w:t>
      </w:r>
      <w:proofErr w:type="spellEnd"/>
      <w:r>
        <w:rPr>
          <w:rFonts w:ascii="Verdana" w:hAnsi="Verdana" w:cs="Verdana"/>
          <w:sz w:val="23"/>
          <w:szCs w:val="23"/>
          <w:lang w:val="es-ES" w:eastAsia="es-ES"/>
        </w:rPr>
        <w:t xml:space="preserve"> vedado conocer por ser de competencia exclusiva de la Junta Directiva del CTP, al haberse interpuesto sobre un acto emanado por ellos.</w:t>
      </w:r>
    </w:p>
    <w:p w:rsidR="004E4CED" w:rsidRDefault="00243C2A">
      <w:pPr>
        <w:kinsoku w:val="0"/>
        <w:overflowPunct w:val="0"/>
        <w:autoSpaceDE/>
        <w:autoSpaceDN/>
        <w:adjustRightInd/>
        <w:spacing w:before="279" w:line="287"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Pretender que el Tribunal Administrativo de Transporte conozca mediante el Recurso de Apelación que se presenta y resuelva, sobre la procedencia</w:t>
      </w:r>
    </w:p>
    <w:p w:rsidR="004E4CED" w:rsidRDefault="004E4CED">
      <w:pPr>
        <w:widowControl/>
        <w:rPr>
          <w:sz w:val="24"/>
          <w:szCs w:val="24"/>
        </w:rPr>
        <w:sectPr w:rsidR="004E4CED">
          <w:pgSz w:w="12240" w:h="15840"/>
          <w:pgMar w:top="2380" w:right="1847" w:bottom="204" w:left="1593" w:header="720" w:footer="720" w:gutter="0"/>
          <w:cols w:space="720"/>
          <w:noEndnote/>
        </w:sectPr>
      </w:pPr>
    </w:p>
    <w:p w:rsidR="004E4CED" w:rsidRDefault="00243C2A">
      <w:pPr>
        <w:kinsoku w:val="0"/>
        <w:overflowPunct w:val="0"/>
        <w:autoSpaceDE/>
        <w:autoSpaceDN/>
        <w:adjustRightInd/>
        <w:spacing w:before="3" w:line="283" w:lineRule="exact"/>
        <w:ind w:left="216" w:right="79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lastRenderedPageBreak/>
        <w:t xml:space="preserve">o no del recurso de Revisión que fue rechazado es improcedente ya que el TAT, es incompetente para conocer del recurso indicado y además resolvería sobre el fondo un asunto que en su momento debió recurrirse mediante los instrumentos de los recursos ordinarios en los plazos determinados por el </w:t>
      </w:r>
      <w:r>
        <w:rPr>
          <w:rFonts w:ascii="Verdana" w:hAnsi="Verdana" w:cs="Verdana"/>
          <w:b/>
          <w:bCs/>
          <w:sz w:val="23"/>
          <w:szCs w:val="23"/>
          <w:lang w:val="es-ES" w:eastAsia="es-ES"/>
        </w:rPr>
        <w:t>artículo 11 de la Ley Reguladora del Servicio Público de Transporte Remunerado de Personas en vehículos en la modalidad de taxi, Ley N°7969, del 28 de enero del 2000.</w:t>
      </w:r>
    </w:p>
    <w:p w:rsidR="004E4CED" w:rsidRDefault="00243C2A">
      <w:pPr>
        <w:kinsoku w:val="0"/>
        <w:overflowPunct w:val="0"/>
        <w:autoSpaceDE/>
        <w:autoSpaceDN/>
        <w:adjustRightInd/>
        <w:spacing w:before="293" w:line="283" w:lineRule="exact"/>
        <w:ind w:left="216" w:right="792"/>
        <w:jc w:val="both"/>
        <w:textAlignment w:val="baseline"/>
        <w:rPr>
          <w:rFonts w:ascii="Verdana" w:hAnsi="Verdana" w:cs="Verdana"/>
          <w:sz w:val="23"/>
          <w:szCs w:val="23"/>
          <w:lang w:val="es-ES" w:eastAsia="es-ES"/>
        </w:rPr>
      </w:pPr>
      <w:r>
        <w:rPr>
          <w:rFonts w:ascii="Verdana" w:hAnsi="Verdana" w:cs="Verdana"/>
          <w:sz w:val="23"/>
          <w:szCs w:val="23"/>
          <w:lang w:val="es-ES" w:eastAsia="es-ES"/>
        </w:rPr>
        <w:t>Por lo antes expuesto, el libelo presentado debe rechazarse por improcedente.</w:t>
      </w:r>
    </w:p>
    <w:p w:rsidR="004E4CED" w:rsidRDefault="00243C2A">
      <w:pPr>
        <w:kinsoku w:val="0"/>
        <w:overflowPunct w:val="0"/>
        <w:autoSpaceDE/>
        <w:autoSpaceDN/>
        <w:adjustRightInd/>
        <w:spacing w:before="282" w:line="283"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POR TANTO</w:t>
      </w:r>
    </w:p>
    <w:p w:rsidR="004E4CED" w:rsidRDefault="00243C2A" w:rsidP="00243C2A">
      <w:pPr>
        <w:kinsoku w:val="0"/>
        <w:overflowPunct w:val="0"/>
        <w:autoSpaceDE/>
        <w:autoSpaceDN/>
        <w:adjustRightInd/>
        <w:spacing w:before="310" w:after="485" w:line="283" w:lineRule="exact"/>
        <w:ind w:left="216" w:right="792"/>
        <w:jc w:val="both"/>
        <w:textAlignment w:val="baseline"/>
        <w:rPr>
          <w:sz w:val="24"/>
          <w:szCs w:val="24"/>
        </w:rPr>
      </w:pPr>
      <w:r>
        <w:rPr>
          <w:rFonts w:ascii="Verdana" w:hAnsi="Verdana" w:cs="Verdana"/>
          <w:sz w:val="23"/>
          <w:szCs w:val="23"/>
          <w:lang w:val="es-ES" w:eastAsia="es-ES"/>
        </w:rPr>
        <w:t xml:space="preserve">Se rechaza por improcedente el </w:t>
      </w:r>
      <w:r>
        <w:rPr>
          <w:rFonts w:ascii="Verdana" w:hAnsi="Verdana" w:cs="Verdana"/>
          <w:b/>
          <w:bCs/>
          <w:sz w:val="23"/>
          <w:szCs w:val="23"/>
          <w:lang w:val="es-ES" w:eastAsia="es-ES"/>
        </w:rPr>
        <w:t xml:space="preserve">RECURSO DE APELACIÓN, </w:t>
      </w:r>
      <w:r>
        <w:rPr>
          <w:rFonts w:ascii="Verdana" w:hAnsi="Verdana" w:cs="Verdana"/>
          <w:sz w:val="23"/>
          <w:szCs w:val="23"/>
          <w:lang w:val="es-ES" w:eastAsia="es-ES"/>
        </w:rPr>
        <w:t xml:space="preserve">interpuesto por el </w:t>
      </w:r>
      <w:r>
        <w:rPr>
          <w:rFonts w:ascii="Verdana" w:hAnsi="Verdana" w:cs="Verdana"/>
          <w:b/>
          <w:bCs/>
          <w:sz w:val="23"/>
          <w:szCs w:val="23"/>
          <w:lang w:val="es-ES" w:eastAsia="es-ES"/>
        </w:rPr>
        <w:t xml:space="preserve">Licenciado R.A.P., cédula de identidad número …, </w:t>
      </w:r>
      <w:r>
        <w:rPr>
          <w:rFonts w:ascii="Verdana" w:hAnsi="Verdana" w:cs="Verdana"/>
          <w:sz w:val="23"/>
          <w:szCs w:val="23"/>
          <w:lang w:val="es-ES" w:eastAsia="es-ES"/>
        </w:rPr>
        <w:t xml:space="preserve">actuando en representación como Apoderado Especial Administrativo, de la señora </w:t>
      </w:r>
      <w:r>
        <w:rPr>
          <w:rFonts w:ascii="Verdana" w:hAnsi="Verdana" w:cs="Verdana"/>
          <w:b/>
          <w:bCs/>
          <w:sz w:val="23"/>
          <w:szCs w:val="23"/>
          <w:lang w:val="es-ES" w:eastAsia="es-ES"/>
        </w:rPr>
        <w:t xml:space="preserve">I.L.M.J., cédula de identidad número …, concesionaria de la placa TP-XXX, </w:t>
      </w:r>
      <w:r>
        <w:rPr>
          <w:rFonts w:ascii="Verdana" w:hAnsi="Verdana" w:cs="Verdana"/>
          <w:sz w:val="23"/>
          <w:szCs w:val="23"/>
          <w:lang w:val="es-ES" w:eastAsia="es-ES"/>
        </w:rPr>
        <w:t xml:space="preserve">contra </w:t>
      </w:r>
      <w:r>
        <w:rPr>
          <w:rFonts w:ascii="Verdana" w:hAnsi="Verdana" w:cs="Verdana"/>
          <w:b/>
          <w:bCs/>
          <w:sz w:val="23"/>
          <w:szCs w:val="23"/>
          <w:lang w:val="es-ES" w:eastAsia="es-ES"/>
        </w:rPr>
        <w:t>el artículo 7,14 de la Sesión Ordinaria 12-2019 de 5 de marzo de 2019, adoptado por la Junta Directiva del Consejo de Transporte Público.</w:t>
      </w:r>
      <w:r>
        <w:rPr>
          <w:sz w:val="24"/>
          <w:szCs w:val="24"/>
        </w:rPr>
        <w:t xml:space="preserve"> </w:t>
      </w:r>
    </w:p>
    <w:p w:rsidR="00243C2A" w:rsidRDefault="00243C2A" w:rsidP="00243C2A">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243C2A" w:rsidRDefault="00243C2A" w:rsidP="00243C2A">
      <w:pPr>
        <w:kinsoku w:val="0"/>
        <w:overflowPunct w:val="0"/>
        <w:autoSpaceDE/>
        <w:adjustRightInd/>
        <w:spacing w:line="289" w:lineRule="exact"/>
        <w:ind w:right="-72"/>
        <w:jc w:val="center"/>
        <w:textAlignment w:val="baseline"/>
        <w:rPr>
          <w:b/>
          <w:sz w:val="24"/>
          <w:szCs w:val="24"/>
          <w:lang w:eastAsia="en-US"/>
        </w:rPr>
      </w:pPr>
      <w:r>
        <w:rPr>
          <w:b/>
          <w:sz w:val="24"/>
          <w:szCs w:val="24"/>
          <w:lang w:eastAsia="en-US"/>
        </w:rPr>
        <w:t>PRESIDENTE</w:t>
      </w:r>
    </w:p>
    <w:p w:rsidR="00243C2A" w:rsidRDefault="00243C2A" w:rsidP="00243C2A">
      <w:pPr>
        <w:kinsoku w:val="0"/>
        <w:overflowPunct w:val="0"/>
        <w:autoSpaceDE/>
        <w:adjustRightInd/>
        <w:spacing w:line="289" w:lineRule="exact"/>
        <w:ind w:right="-72"/>
        <w:jc w:val="center"/>
        <w:textAlignment w:val="baseline"/>
        <w:rPr>
          <w:b/>
          <w:sz w:val="24"/>
          <w:szCs w:val="24"/>
          <w:lang w:eastAsia="en-US"/>
        </w:rPr>
      </w:pPr>
    </w:p>
    <w:p w:rsidR="00243C2A" w:rsidRDefault="00243C2A" w:rsidP="00243C2A">
      <w:pPr>
        <w:kinsoku w:val="0"/>
        <w:overflowPunct w:val="0"/>
        <w:autoSpaceDE/>
        <w:adjustRightInd/>
        <w:spacing w:line="289" w:lineRule="exact"/>
        <w:ind w:right="-72"/>
        <w:jc w:val="center"/>
        <w:textAlignment w:val="baseline"/>
        <w:rPr>
          <w:b/>
          <w:sz w:val="24"/>
          <w:szCs w:val="24"/>
          <w:lang w:eastAsia="en-US"/>
        </w:rPr>
      </w:pPr>
    </w:p>
    <w:p w:rsidR="00243C2A" w:rsidRDefault="00243C2A" w:rsidP="00243C2A">
      <w:pPr>
        <w:kinsoku w:val="0"/>
        <w:overflowPunct w:val="0"/>
        <w:autoSpaceDE/>
        <w:adjustRightInd/>
        <w:spacing w:line="289" w:lineRule="exact"/>
        <w:ind w:right="-72"/>
        <w:jc w:val="center"/>
        <w:textAlignment w:val="baseline"/>
        <w:rPr>
          <w:b/>
          <w:sz w:val="24"/>
          <w:szCs w:val="24"/>
          <w:lang w:eastAsia="en-US"/>
        </w:rPr>
      </w:pPr>
    </w:p>
    <w:p w:rsidR="00243C2A" w:rsidRDefault="00243C2A" w:rsidP="00243C2A">
      <w:pPr>
        <w:kinsoku w:val="0"/>
        <w:overflowPunct w:val="0"/>
        <w:autoSpaceDE/>
        <w:adjustRightInd/>
        <w:spacing w:before="100" w:beforeAutospacing="1" w:after="100" w:afterAutospacing="1"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243C2A" w:rsidRDefault="00243C2A" w:rsidP="00243C2A">
      <w:pPr>
        <w:kinsoku w:val="0"/>
        <w:overflowPunct w:val="0"/>
        <w:autoSpaceDE/>
        <w:autoSpaceDN/>
        <w:adjustRightInd/>
        <w:spacing w:before="100" w:beforeAutospacing="1" w:after="100" w:afterAutospacing="1" w:line="283" w:lineRule="exact"/>
        <w:ind w:left="216" w:right="792"/>
        <w:jc w:val="center"/>
        <w:textAlignment w:val="baseline"/>
        <w:rPr>
          <w:sz w:val="24"/>
          <w:szCs w:val="24"/>
        </w:rPr>
      </w:pPr>
      <w:r>
        <w:rPr>
          <w:b/>
          <w:sz w:val="24"/>
          <w:szCs w:val="24"/>
          <w:lang w:eastAsia="en-US"/>
        </w:rPr>
        <w:t xml:space="preserve">JUEZ                                                                         </w:t>
      </w:r>
      <w:proofErr w:type="spellStart"/>
      <w:r>
        <w:rPr>
          <w:b/>
          <w:sz w:val="24"/>
          <w:szCs w:val="24"/>
          <w:lang w:eastAsia="en-US"/>
        </w:rPr>
        <w:t>JUEZ</w:t>
      </w:r>
      <w:proofErr w:type="spellEnd"/>
    </w:p>
    <w:p w:rsidR="004E4CED" w:rsidRDefault="004E4CED" w:rsidP="00243C2A">
      <w:pPr>
        <w:widowControl/>
        <w:jc w:val="center"/>
        <w:rPr>
          <w:sz w:val="24"/>
          <w:szCs w:val="24"/>
        </w:rPr>
        <w:sectPr w:rsidR="004E4CED">
          <w:pgSz w:w="12240" w:h="15840"/>
          <w:pgMar w:top="2000" w:right="1240" w:bottom="344" w:left="1440" w:header="720" w:footer="720" w:gutter="0"/>
          <w:cols w:space="720"/>
          <w:noEndnote/>
        </w:sectPr>
      </w:pPr>
    </w:p>
    <w:p w:rsidR="004E4CED" w:rsidRDefault="004E4CED" w:rsidP="00243C2A">
      <w:pPr>
        <w:tabs>
          <w:tab w:val="right" w:pos="2376"/>
        </w:tabs>
        <w:kinsoku w:val="0"/>
        <w:overflowPunct w:val="0"/>
        <w:autoSpaceDE/>
        <w:autoSpaceDN/>
        <w:adjustRightInd/>
        <w:spacing w:line="274" w:lineRule="exact"/>
        <w:textAlignment w:val="baseline"/>
        <w:rPr>
          <w:rFonts w:ascii="Verdana" w:hAnsi="Verdana" w:cs="Verdana"/>
          <w:sz w:val="23"/>
          <w:szCs w:val="23"/>
          <w:lang w:val="es-ES" w:eastAsia="es-ES"/>
        </w:rPr>
      </w:pPr>
    </w:p>
    <w:sectPr w:rsidR="004E4CED">
      <w:type w:val="continuous"/>
      <w:pgSz w:w="12240" w:h="15840"/>
      <w:pgMar w:top="2000" w:right="1959" w:bottom="344" w:left="79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45A6"/>
    <w:multiLevelType w:val="singleLevel"/>
    <w:tmpl w:val="57227FFD"/>
    <w:lvl w:ilvl="0">
      <w:start w:val="1"/>
      <w:numFmt w:val="lowerLetter"/>
      <w:lvlText w:val="%1)"/>
      <w:lvlJc w:val="left"/>
      <w:pPr>
        <w:tabs>
          <w:tab w:val="num" w:pos="936"/>
        </w:tabs>
        <w:ind w:left="720"/>
      </w:pPr>
      <w:rPr>
        <w:rFonts w:ascii="Verdana" w:hAnsi="Verdana" w:cs="Verdana"/>
        <w:i/>
        <w:iCs/>
        <w:snapToGrid/>
        <w:sz w:val="21"/>
        <w:szCs w:val="21"/>
      </w:rPr>
    </w:lvl>
  </w:abstractNum>
  <w:num w:numId="1">
    <w:abstractNumId w:val="0"/>
  </w:num>
  <w:num w:numId="2">
    <w:abstractNumId w:val="0"/>
    <w:lvlOverride w:ilvl="0">
      <w:lvl w:ilvl="0">
        <w:numFmt w:val="lowerLetter"/>
        <w:lvlText w:val="%1)"/>
        <w:lvlJc w:val="left"/>
        <w:pPr>
          <w:tabs>
            <w:tab w:val="num" w:pos="1080"/>
          </w:tabs>
          <w:ind w:left="720"/>
        </w:pPr>
        <w:rPr>
          <w:rFonts w:ascii="Verdana" w:hAnsi="Verdana" w:cs="Verdana"/>
          <w:i/>
          <w:iCs/>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2A"/>
    <w:rsid w:val="00243C2A"/>
    <w:rsid w:val="004C043D"/>
    <w:rsid w:val="004E4C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02F1A0-5781-4522-A67B-AD039C21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9894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2019-07-17T15:19:00Z</dcterms:created>
  <dcterms:modified xsi:type="dcterms:W3CDTF">2019-07-17T15:19:00Z</dcterms:modified>
</cp:coreProperties>
</file>